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19" w:rsidRDefault="00A22A19" w:rsidP="00EF63B1">
      <w:pPr>
        <w:ind w:left="4820" w:firstLine="0"/>
        <w:jc w:val="center"/>
      </w:pPr>
      <w:r w:rsidRPr="00A22A19">
        <w:t>Директор</w:t>
      </w:r>
      <w:r>
        <w:t>у</w:t>
      </w:r>
    </w:p>
    <w:p w:rsidR="00EF63B1" w:rsidRDefault="00A22A19" w:rsidP="00EF63B1">
      <w:pPr>
        <w:ind w:left="4820" w:firstLine="0"/>
        <w:jc w:val="center"/>
      </w:pPr>
      <w:r w:rsidRPr="00A22A19">
        <w:t>Департамента</w:t>
      </w:r>
      <w:r>
        <w:t xml:space="preserve"> </w:t>
      </w:r>
      <w:r w:rsidRPr="00A22A19">
        <w:t>по развитию предпринимательства</w:t>
      </w:r>
    </w:p>
    <w:p w:rsidR="00EF63B1" w:rsidRDefault="00EF63B1" w:rsidP="00EF63B1">
      <w:pPr>
        <w:ind w:left="4820" w:firstLine="0"/>
        <w:jc w:val="center"/>
      </w:pPr>
      <w:r>
        <w:t>Торгово-промышленной палаты</w:t>
      </w:r>
    </w:p>
    <w:p w:rsidR="00EF63B1" w:rsidRDefault="00EF63B1" w:rsidP="00EF63B1">
      <w:pPr>
        <w:ind w:left="4820" w:firstLine="0"/>
        <w:jc w:val="center"/>
      </w:pPr>
      <w:r>
        <w:t>Российской Федерации</w:t>
      </w:r>
    </w:p>
    <w:p w:rsidR="00A22A19" w:rsidRDefault="00A22A19" w:rsidP="00EF63B1">
      <w:pPr>
        <w:ind w:left="4820" w:firstLine="0"/>
        <w:jc w:val="center"/>
      </w:pPr>
      <w:proofErr w:type="spellStart"/>
      <w:r w:rsidRPr="00A22A19">
        <w:t>Г.П.Манжосов</w:t>
      </w:r>
      <w:r>
        <w:t>у</w:t>
      </w:r>
      <w:proofErr w:type="spellEnd"/>
    </w:p>
    <w:p w:rsidR="00A22A19" w:rsidRDefault="00A22A19" w:rsidP="00A22A19">
      <w:pPr>
        <w:ind w:left="5670" w:firstLine="0"/>
      </w:pPr>
    </w:p>
    <w:p w:rsidR="00EF63B1" w:rsidRDefault="00EF63B1" w:rsidP="00A22A19">
      <w:pPr>
        <w:ind w:left="5670" w:firstLine="0"/>
      </w:pPr>
    </w:p>
    <w:p w:rsidR="00A22A19" w:rsidRDefault="00A22A19" w:rsidP="00A22A19">
      <w:pPr>
        <w:ind w:firstLine="0"/>
      </w:pPr>
      <w:r>
        <w:t>На № 08/0149 от 28.03.2013</w:t>
      </w:r>
    </w:p>
    <w:p w:rsidR="00A22A19" w:rsidRDefault="00A22A19" w:rsidP="00A22A19">
      <w:pPr>
        <w:ind w:firstLine="0"/>
      </w:pPr>
    </w:p>
    <w:p w:rsidR="00A22A19" w:rsidRDefault="00A22A19" w:rsidP="006A0367">
      <w:r>
        <w:t>Т</w:t>
      </w:r>
      <w:r w:rsidR="00EF63B1">
        <w:t xml:space="preserve">оргово-промышленной палатой </w:t>
      </w:r>
      <w:r>
        <w:t>Ростовской области рассмотрен проект федерального закона «О внесении изменения в статью 2 Федерального закона «Технический регламент о безопасности зданий и сооружений» (далее – проект закона или законопроект).</w:t>
      </w:r>
    </w:p>
    <w:p w:rsidR="00A22A19" w:rsidRDefault="002324B4" w:rsidP="006A0367">
      <w:r>
        <w:t xml:space="preserve">Целью законопроекта является «установление термина временных зданий и сооружений» (пояснительная записка). </w:t>
      </w:r>
      <w:r w:rsidR="00A22A19">
        <w:t>Предлагаемое дополнение</w:t>
      </w:r>
      <w:r w:rsidR="00EF63B1">
        <w:t xml:space="preserve"> </w:t>
      </w:r>
      <w:r>
        <w:t xml:space="preserve"> ч. 2 ст. 2 </w:t>
      </w:r>
      <w:r w:rsidR="00A22A19">
        <w:t xml:space="preserve"> </w:t>
      </w:r>
      <w:r>
        <w:t>Федерального закона «Технический регламент о безопасности зданий и сооружений» содержит следующее определение  данного термина: «</w:t>
      </w:r>
      <w:r w:rsidR="00A22A19" w:rsidRPr="002324B4">
        <w:t>временные здания и сооружения - здания и сооружения временного</w:t>
      </w:r>
      <w:r>
        <w:t xml:space="preserve"> </w:t>
      </w:r>
      <w:r w:rsidR="00A22A19" w:rsidRPr="002324B4">
        <w:t>назначения, в том числе и временные постройки, а также специально</w:t>
      </w:r>
      <w:r>
        <w:t xml:space="preserve"> </w:t>
      </w:r>
      <w:r w:rsidR="00A22A19" w:rsidRPr="002324B4">
        <w:t>возводимые или приспосабливаемые на период строительства</w:t>
      </w:r>
      <w:r>
        <w:t xml:space="preserve"> </w:t>
      </w:r>
      <w:r w:rsidR="00A22A19" w:rsidRPr="002324B4">
        <w:t>производственные, складские, вспомогательные, жилые и общественные</w:t>
      </w:r>
      <w:r>
        <w:t xml:space="preserve"> </w:t>
      </w:r>
      <w:r w:rsidR="00A22A19" w:rsidRPr="002324B4">
        <w:t>здания и сооружения необходимые для осуществления строительства</w:t>
      </w:r>
      <w:r>
        <w:t xml:space="preserve"> </w:t>
      </w:r>
      <w:r w:rsidR="00A22A19" w:rsidRPr="002324B4">
        <w:t>и обслуживания работников строительства»</w:t>
      </w:r>
      <w:r>
        <w:t>.</w:t>
      </w:r>
    </w:p>
    <w:p w:rsidR="002324B4" w:rsidRDefault="002324B4" w:rsidP="006A0367">
      <w:r>
        <w:t>То есть, под временными зданиями и сооружениями следует понимать здания и сооружения временного назначения</w:t>
      </w:r>
      <w:r w:rsidR="00A96696">
        <w:t>, включая временные постройки</w:t>
      </w:r>
      <w:r>
        <w:t>.</w:t>
      </w:r>
      <w:r w:rsidR="00A96696">
        <w:t xml:space="preserve"> Предлагаемое </w:t>
      </w:r>
      <w:r w:rsidR="00EF63B1">
        <w:t xml:space="preserve">проектом закона </w:t>
      </w:r>
      <w:r w:rsidR="00A96696">
        <w:t xml:space="preserve">определение является ничего не объясняющим и не дополняющим повторением одного и того же другими словами (тавтология). Кроме того,  </w:t>
      </w:r>
      <w:r w:rsidR="006176D1">
        <w:t xml:space="preserve">дополнительно </w:t>
      </w:r>
      <w:r w:rsidR="00A96696">
        <w:t xml:space="preserve">необходимо определится с тем, чем временное сооружение отличается от временной постройки. </w:t>
      </w:r>
    </w:p>
    <w:p w:rsidR="002324B4" w:rsidRDefault="002324B4" w:rsidP="006A0367">
      <w:r>
        <w:t>Такое определение не может быть признано корректным и обусловит неопределенность в правоприменительной практике</w:t>
      </w:r>
      <w:r w:rsidR="002B0B7F">
        <w:t>, включая регистрацию права собственности на объекты</w:t>
      </w:r>
      <w:r w:rsidR="00CA0069">
        <w:t>, приведет к нарушениям прав и охраняемых законом интересов хозяйствующих субъектов и граждан</w:t>
      </w:r>
      <w:r>
        <w:t>.</w:t>
      </w:r>
    </w:p>
    <w:p w:rsidR="002B0B7F" w:rsidRDefault="002B0B7F" w:rsidP="006A0367">
      <w:r>
        <w:t>Следует учитывать, что Федеральный закон «Технический регламент о безопасности зданий и сооружений» и Градостроительный кодекс Российской Федерации не смешивают понятие «временное здание и сооружение» с понятием «сооружение вспомогательного использования».</w:t>
      </w:r>
    </w:p>
    <w:p w:rsidR="002B0B7F" w:rsidRDefault="002B0B7F" w:rsidP="006A0367">
      <w:proofErr w:type="gramStart"/>
      <w:r>
        <w:t xml:space="preserve">Так, в соответствии с </w:t>
      </w:r>
      <w:hyperlink r:id="rId5" w:history="1">
        <w:r w:rsidRPr="002B0B7F">
          <w:t>пунктом 10 статьи 4</w:t>
        </w:r>
      </w:hyperlink>
      <w:r>
        <w:t xml:space="preserve"> Федерального закона "Технический регламент о безопасности зданий и сооружений"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  <w:proofErr w:type="gramEnd"/>
    </w:p>
    <w:p w:rsidR="00D34DA8" w:rsidRDefault="002B0B7F" w:rsidP="006A0367">
      <w:r>
        <w:t>В тексте данной статьи закона использован соединительный союз «а также»</w:t>
      </w:r>
      <w:r w:rsidR="00D34DA8">
        <w:t>.</w:t>
      </w:r>
      <w:r w:rsidR="00D34DA8" w:rsidRPr="00D34DA8">
        <w:t xml:space="preserve"> </w:t>
      </w:r>
      <w:r w:rsidR="00D34DA8">
        <w:t xml:space="preserve"> Соединительные союзы в русском языке применяют для соединения однородных членов предложения в значении «и это, и то» (</w:t>
      </w:r>
      <w:r w:rsidR="006176D1">
        <w:t>например, «</w:t>
      </w:r>
      <w:r w:rsidR="00D34DA8">
        <w:t>студенты, а также преподаватели</w:t>
      </w:r>
      <w:r w:rsidR="006176D1">
        <w:t>»</w:t>
      </w:r>
      <w:r w:rsidR="00D34DA8">
        <w:t>).</w:t>
      </w:r>
    </w:p>
    <w:p w:rsidR="002B0B7F" w:rsidRDefault="002B0B7F" w:rsidP="006A0367">
      <w:r>
        <w:t>Отсюда следует, что здания и сооружения вспомогательного назначения относятся не к временным зданиям и сооружениям, а к сооружениям пониженного уровня ответственности.</w:t>
      </w:r>
    </w:p>
    <w:p w:rsidR="00D34DA8" w:rsidRDefault="00D34DA8" w:rsidP="006A0367">
      <w:r w:rsidRPr="00D34DA8">
        <w:t xml:space="preserve">Согласно </w:t>
      </w:r>
      <w:hyperlink r:id="rId6" w:history="1">
        <w:r w:rsidRPr="00D34DA8">
          <w:t>пункту 3 части 17 статьи 51</w:t>
        </w:r>
      </w:hyperlink>
      <w:r w:rsidRPr="00D34DA8">
        <w:t xml:space="preserve"> Градостроительного кодекса Российской Федерации выдача разрешения на строительство не требуется в случае строительства на земельном участке строений и сооружений вспомогательного использования.</w:t>
      </w:r>
    </w:p>
    <w:p w:rsidR="00D34DA8" w:rsidRPr="00E73925" w:rsidRDefault="00D34DA8" w:rsidP="006A0367">
      <w:r w:rsidRPr="00E73925">
        <w:t xml:space="preserve">По смыслу указанной </w:t>
      </w:r>
      <w:hyperlink r:id="rId7" w:history="1">
        <w:r w:rsidRPr="00E73925">
          <w:t>нормы</w:t>
        </w:r>
      </w:hyperlink>
      <w:r w:rsidRPr="00E73925">
        <w:t xml:space="preserve"> под строениями и сооружениями вспомогательного использования следует понимать </w:t>
      </w:r>
      <w:r w:rsidR="00E73925">
        <w:t>любые</w:t>
      </w:r>
      <w:r w:rsidRPr="00E73925">
        <w:t xml:space="preserve"> постройки, которые предназначены для обслуживания и эксплуатации основного здания</w:t>
      </w:r>
      <w:r w:rsidR="00E73925">
        <w:t xml:space="preserve"> (такой вывод содержится, например, в п</w:t>
      </w:r>
      <w:r w:rsidR="00E73925">
        <w:rPr>
          <w:rFonts w:cs="Times New Roman"/>
          <w:szCs w:val="28"/>
        </w:rPr>
        <w:t>остановлении ФАС Восточно-Сибирского округа от 29.05.2012 по делу N А33-12542/2011).</w:t>
      </w:r>
    </w:p>
    <w:p w:rsidR="00D34DA8" w:rsidRDefault="00D34DA8" w:rsidP="006A0367">
      <w:pPr>
        <w:rPr>
          <w:rFonts w:cs="Times New Roman"/>
          <w:szCs w:val="28"/>
        </w:rPr>
      </w:pPr>
      <w:r w:rsidRPr="00E73925">
        <w:t xml:space="preserve">То есть, </w:t>
      </w:r>
      <w:r w:rsidR="00E73925" w:rsidRPr="00E73925">
        <w:t>здания</w:t>
      </w:r>
      <w:r w:rsidR="00E73925">
        <w:rPr>
          <w:rFonts w:cs="Times New Roman"/>
          <w:szCs w:val="28"/>
        </w:rPr>
        <w:t xml:space="preserve"> вспомогательного  назначения не обязательно выступают в качестве временных зданий.</w:t>
      </w:r>
    </w:p>
    <w:p w:rsidR="00E73925" w:rsidRDefault="00D34DA8" w:rsidP="006A0367">
      <w:r>
        <w:t>При таких обстоятельствах предпринятая в законопроекте попытка дать одно определение различным понятиям приведет к противоречию с иными нормами Федерального закона «Технический регламент о безопасности зданий и сооружений»</w:t>
      </w:r>
      <w:r w:rsidR="00E73925">
        <w:t>, Градостроительным кодексом</w:t>
      </w:r>
      <w:r w:rsidR="00EF63B1">
        <w:t xml:space="preserve"> Российской Федерации</w:t>
      </w:r>
      <w:r w:rsidR="00E73925">
        <w:t>.</w:t>
      </w:r>
    </w:p>
    <w:p w:rsidR="002B0B7F" w:rsidRDefault="00E73925" w:rsidP="006A0367">
      <w:r>
        <w:t>Вообще, необходимо отдавать отчет в том, что любые здания и сооружения ограничены определенным жизненным циклом и, следовательно, все здания и сооружения являются временными.</w:t>
      </w:r>
      <w:r w:rsidR="00CA0069">
        <w:t xml:space="preserve"> </w:t>
      </w:r>
    </w:p>
    <w:p w:rsidR="00E73925" w:rsidRDefault="00E73925" w:rsidP="006A0367">
      <w:r>
        <w:t>По мнению Торгово-промышленной палаты Ростовской области законопрое</w:t>
      </w:r>
      <w:proofErr w:type="gramStart"/>
      <w:r>
        <w:t>кт в пр</w:t>
      </w:r>
      <w:proofErr w:type="gramEnd"/>
      <w:r>
        <w:t>едлагаемой редакции требует доработки и не может быть поддержан.</w:t>
      </w:r>
    </w:p>
    <w:p w:rsidR="00E73925" w:rsidRDefault="00E73925" w:rsidP="002B0B7F">
      <w:pPr>
        <w:autoSpaceDE w:val="0"/>
        <w:autoSpaceDN w:val="0"/>
        <w:adjustRightInd w:val="0"/>
        <w:spacing w:after="0"/>
        <w:ind w:firstLine="540"/>
        <w:contextualSpacing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73925" w:rsidRPr="00B93313" w:rsidTr="00FD5713">
        <w:tc>
          <w:tcPr>
            <w:tcW w:w="4077" w:type="dxa"/>
          </w:tcPr>
          <w:p w:rsidR="00EF63B1" w:rsidRDefault="00EF63B1" w:rsidP="00B93313">
            <w:pPr>
              <w:pStyle w:val="a7"/>
            </w:pPr>
          </w:p>
          <w:p w:rsidR="00E73925" w:rsidRPr="00B93313" w:rsidRDefault="00E73925" w:rsidP="00B93313">
            <w:pPr>
              <w:pStyle w:val="a7"/>
            </w:pPr>
            <w:r w:rsidRPr="00B93313">
              <w:t>Президент</w:t>
            </w:r>
          </w:p>
          <w:p w:rsidR="00E73925" w:rsidRPr="00B93313" w:rsidRDefault="00E73925" w:rsidP="00B93313">
            <w:pPr>
              <w:pStyle w:val="a7"/>
            </w:pPr>
            <w:r w:rsidRPr="00B93313">
              <w:t>Торгово-промышленной палаты</w:t>
            </w:r>
          </w:p>
          <w:p w:rsidR="00E73925" w:rsidRPr="00B93313" w:rsidRDefault="00E73925" w:rsidP="00B93313">
            <w:pPr>
              <w:pStyle w:val="a7"/>
            </w:pPr>
            <w:r w:rsidRPr="00B93313">
              <w:t>Ростовской области</w:t>
            </w:r>
          </w:p>
          <w:p w:rsidR="00E73925" w:rsidRPr="00B93313" w:rsidRDefault="00E73925" w:rsidP="00B93313">
            <w:pPr>
              <w:pStyle w:val="a7"/>
            </w:pPr>
          </w:p>
        </w:tc>
        <w:tc>
          <w:tcPr>
            <w:tcW w:w="5494" w:type="dxa"/>
          </w:tcPr>
          <w:p w:rsidR="00E73925" w:rsidRPr="00B93313" w:rsidRDefault="00E73925" w:rsidP="00B93313">
            <w:pPr>
              <w:pStyle w:val="a7"/>
            </w:pPr>
          </w:p>
          <w:p w:rsidR="00E73925" w:rsidRPr="00B93313" w:rsidRDefault="00E73925" w:rsidP="00B93313">
            <w:pPr>
              <w:pStyle w:val="a7"/>
            </w:pPr>
          </w:p>
          <w:p w:rsidR="00E73925" w:rsidRPr="00B93313" w:rsidRDefault="00E73925" w:rsidP="00B93313">
            <w:pPr>
              <w:pStyle w:val="a7"/>
              <w:jc w:val="right"/>
            </w:pPr>
            <w:proofErr w:type="spellStart"/>
            <w:r w:rsidRPr="00B93313">
              <w:t>Н.И.Присяжнюк</w:t>
            </w:r>
            <w:proofErr w:type="spellEnd"/>
          </w:p>
        </w:tc>
      </w:tr>
    </w:tbl>
    <w:p w:rsidR="00E73925" w:rsidRDefault="00E73925" w:rsidP="00E73925">
      <w:pPr>
        <w:autoSpaceDE w:val="0"/>
        <w:autoSpaceDN w:val="0"/>
        <w:adjustRightInd w:val="0"/>
        <w:spacing w:after="0"/>
        <w:ind w:firstLine="0"/>
        <w:contextualSpacing w:val="0"/>
      </w:pPr>
    </w:p>
    <w:p w:rsidR="00FD5713" w:rsidRDefault="00FD5713" w:rsidP="00E73925">
      <w:pPr>
        <w:autoSpaceDE w:val="0"/>
        <w:autoSpaceDN w:val="0"/>
        <w:adjustRightInd w:val="0"/>
        <w:spacing w:after="0"/>
        <w:ind w:firstLine="0"/>
        <w:contextualSpacing w:val="0"/>
      </w:pPr>
    </w:p>
    <w:p w:rsidR="00FD5713" w:rsidRDefault="00FD5713" w:rsidP="00E73925">
      <w:pPr>
        <w:autoSpaceDE w:val="0"/>
        <w:autoSpaceDN w:val="0"/>
        <w:adjustRightInd w:val="0"/>
        <w:spacing w:after="0"/>
        <w:ind w:firstLine="0"/>
        <w:contextualSpacing w:val="0"/>
      </w:pPr>
    </w:p>
    <w:p w:rsidR="00FD5713" w:rsidRDefault="00FD5713" w:rsidP="00E73925">
      <w:pPr>
        <w:autoSpaceDE w:val="0"/>
        <w:autoSpaceDN w:val="0"/>
        <w:adjustRightInd w:val="0"/>
        <w:spacing w:after="0"/>
        <w:ind w:firstLine="0"/>
        <w:contextualSpacing w:val="0"/>
      </w:pPr>
    </w:p>
    <w:p w:rsidR="00FD5713" w:rsidRDefault="00FD5713" w:rsidP="00E73925">
      <w:pPr>
        <w:autoSpaceDE w:val="0"/>
        <w:autoSpaceDN w:val="0"/>
        <w:adjustRightInd w:val="0"/>
        <w:spacing w:after="0"/>
        <w:ind w:firstLine="0"/>
        <w:contextualSpacing w:val="0"/>
      </w:pPr>
    </w:p>
    <w:p w:rsidR="00FD5713" w:rsidRDefault="00FD5713" w:rsidP="00E73925">
      <w:pPr>
        <w:autoSpaceDE w:val="0"/>
        <w:autoSpaceDN w:val="0"/>
        <w:adjustRightInd w:val="0"/>
        <w:spacing w:after="0"/>
        <w:ind w:firstLine="0"/>
        <w:contextualSpacing w:val="0"/>
      </w:pPr>
    </w:p>
    <w:p w:rsidR="00FD5713" w:rsidRPr="006176D1" w:rsidRDefault="006176D1" w:rsidP="00E73925">
      <w:pPr>
        <w:autoSpaceDE w:val="0"/>
        <w:autoSpaceDN w:val="0"/>
        <w:adjustRightInd w:val="0"/>
        <w:spacing w:after="0"/>
        <w:ind w:firstLine="0"/>
        <w:contextualSpacing w:val="0"/>
        <w:rPr>
          <w:sz w:val="24"/>
          <w:szCs w:val="24"/>
        </w:rPr>
      </w:pPr>
      <w:proofErr w:type="spellStart"/>
      <w:r w:rsidRPr="006176D1">
        <w:rPr>
          <w:sz w:val="24"/>
          <w:szCs w:val="24"/>
        </w:rPr>
        <w:t>Кочура</w:t>
      </w:r>
      <w:proofErr w:type="spellEnd"/>
      <w:r w:rsidRPr="006176D1">
        <w:rPr>
          <w:sz w:val="24"/>
          <w:szCs w:val="24"/>
        </w:rPr>
        <w:t xml:space="preserve"> В.Н.</w:t>
      </w:r>
    </w:p>
    <w:p w:rsidR="002324B4" w:rsidRPr="00A22A19" w:rsidRDefault="006176D1" w:rsidP="006176D1">
      <w:pPr>
        <w:autoSpaceDE w:val="0"/>
        <w:autoSpaceDN w:val="0"/>
        <w:adjustRightInd w:val="0"/>
        <w:spacing w:after="0"/>
        <w:ind w:firstLine="0"/>
        <w:contextualSpacing w:val="0"/>
      </w:pPr>
      <w:r w:rsidRPr="006176D1">
        <w:rPr>
          <w:sz w:val="24"/>
          <w:szCs w:val="24"/>
        </w:rPr>
        <w:t>268-76-17</w:t>
      </w:r>
    </w:p>
    <w:sectPr w:rsidR="002324B4" w:rsidRPr="00A2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19"/>
    <w:rsid w:val="000031CC"/>
    <w:rsid w:val="00012835"/>
    <w:rsid w:val="0003482A"/>
    <w:rsid w:val="00064F7E"/>
    <w:rsid w:val="000747B4"/>
    <w:rsid w:val="000938AA"/>
    <w:rsid w:val="000A4B9D"/>
    <w:rsid w:val="000A7DD8"/>
    <w:rsid w:val="000D0B0E"/>
    <w:rsid w:val="000D7862"/>
    <w:rsid w:val="000E5A37"/>
    <w:rsid w:val="000E5C3E"/>
    <w:rsid w:val="000E78A3"/>
    <w:rsid w:val="000E7BDD"/>
    <w:rsid w:val="0011606F"/>
    <w:rsid w:val="00125D83"/>
    <w:rsid w:val="00127612"/>
    <w:rsid w:val="00130787"/>
    <w:rsid w:val="001520CB"/>
    <w:rsid w:val="0016696B"/>
    <w:rsid w:val="00172B0D"/>
    <w:rsid w:val="0017756B"/>
    <w:rsid w:val="00182562"/>
    <w:rsid w:val="00196041"/>
    <w:rsid w:val="001A1690"/>
    <w:rsid w:val="001A71E6"/>
    <w:rsid w:val="001B0F63"/>
    <w:rsid w:val="001B7F65"/>
    <w:rsid w:val="001C2DC9"/>
    <w:rsid w:val="001D155D"/>
    <w:rsid w:val="001E148A"/>
    <w:rsid w:val="002324B4"/>
    <w:rsid w:val="0024528A"/>
    <w:rsid w:val="00246235"/>
    <w:rsid w:val="00253B8F"/>
    <w:rsid w:val="00287BAE"/>
    <w:rsid w:val="002A207D"/>
    <w:rsid w:val="002A5211"/>
    <w:rsid w:val="002B0B7F"/>
    <w:rsid w:val="002F70D2"/>
    <w:rsid w:val="00317C52"/>
    <w:rsid w:val="003743E6"/>
    <w:rsid w:val="00392A2D"/>
    <w:rsid w:val="003A14EC"/>
    <w:rsid w:val="003A201D"/>
    <w:rsid w:val="003B170E"/>
    <w:rsid w:val="003C03A6"/>
    <w:rsid w:val="003C2535"/>
    <w:rsid w:val="003C2A4C"/>
    <w:rsid w:val="003F0B05"/>
    <w:rsid w:val="003F636C"/>
    <w:rsid w:val="004011AC"/>
    <w:rsid w:val="004226A7"/>
    <w:rsid w:val="004447F4"/>
    <w:rsid w:val="0045015C"/>
    <w:rsid w:val="00466EED"/>
    <w:rsid w:val="00484ACB"/>
    <w:rsid w:val="004972D6"/>
    <w:rsid w:val="004B1EB0"/>
    <w:rsid w:val="004B63A2"/>
    <w:rsid w:val="004F2D65"/>
    <w:rsid w:val="004F7E2F"/>
    <w:rsid w:val="00573EFD"/>
    <w:rsid w:val="005772B2"/>
    <w:rsid w:val="005C30B9"/>
    <w:rsid w:val="005C61D2"/>
    <w:rsid w:val="005E2B95"/>
    <w:rsid w:val="00614D85"/>
    <w:rsid w:val="006176D1"/>
    <w:rsid w:val="006340CC"/>
    <w:rsid w:val="00656566"/>
    <w:rsid w:val="00664873"/>
    <w:rsid w:val="006732AB"/>
    <w:rsid w:val="006A0367"/>
    <w:rsid w:val="006A272A"/>
    <w:rsid w:val="006F7141"/>
    <w:rsid w:val="0071617F"/>
    <w:rsid w:val="0072409C"/>
    <w:rsid w:val="00724B8F"/>
    <w:rsid w:val="00731F6A"/>
    <w:rsid w:val="00750966"/>
    <w:rsid w:val="00766CF0"/>
    <w:rsid w:val="00770CBB"/>
    <w:rsid w:val="00777D8B"/>
    <w:rsid w:val="007F56C7"/>
    <w:rsid w:val="007F5BAF"/>
    <w:rsid w:val="00804BAF"/>
    <w:rsid w:val="00824605"/>
    <w:rsid w:val="00873523"/>
    <w:rsid w:val="00885AE2"/>
    <w:rsid w:val="008874DF"/>
    <w:rsid w:val="008912CA"/>
    <w:rsid w:val="008A6F15"/>
    <w:rsid w:val="008B7E6E"/>
    <w:rsid w:val="008C3344"/>
    <w:rsid w:val="009000D0"/>
    <w:rsid w:val="009261D2"/>
    <w:rsid w:val="00937DCE"/>
    <w:rsid w:val="00940546"/>
    <w:rsid w:val="00944EBE"/>
    <w:rsid w:val="00945635"/>
    <w:rsid w:val="00982741"/>
    <w:rsid w:val="00983EAF"/>
    <w:rsid w:val="00A02ACB"/>
    <w:rsid w:val="00A22A19"/>
    <w:rsid w:val="00A55D46"/>
    <w:rsid w:val="00A6750D"/>
    <w:rsid w:val="00A73276"/>
    <w:rsid w:val="00A96696"/>
    <w:rsid w:val="00AA5CC2"/>
    <w:rsid w:val="00AB200B"/>
    <w:rsid w:val="00AD6228"/>
    <w:rsid w:val="00AE3EE7"/>
    <w:rsid w:val="00AE5561"/>
    <w:rsid w:val="00B07329"/>
    <w:rsid w:val="00B15270"/>
    <w:rsid w:val="00B2115B"/>
    <w:rsid w:val="00B54774"/>
    <w:rsid w:val="00B6387C"/>
    <w:rsid w:val="00B82BCF"/>
    <w:rsid w:val="00B84876"/>
    <w:rsid w:val="00B94E8A"/>
    <w:rsid w:val="00BA0033"/>
    <w:rsid w:val="00BC43BD"/>
    <w:rsid w:val="00BD2765"/>
    <w:rsid w:val="00BE26A7"/>
    <w:rsid w:val="00C33AD1"/>
    <w:rsid w:val="00C542B2"/>
    <w:rsid w:val="00C6375C"/>
    <w:rsid w:val="00C647AA"/>
    <w:rsid w:val="00C81CC7"/>
    <w:rsid w:val="00CA0069"/>
    <w:rsid w:val="00CA20BF"/>
    <w:rsid w:val="00CB44D5"/>
    <w:rsid w:val="00CD398B"/>
    <w:rsid w:val="00D34DA8"/>
    <w:rsid w:val="00D35E72"/>
    <w:rsid w:val="00D36FDC"/>
    <w:rsid w:val="00D42C2B"/>
    <w:rsid w:val="00D67469"/>
    <w:rsid w:val="00D806D9"/>
    <w:rsid w:val="00DB2F95"/>
    <w:rsid w:val="00DD40AB"/>
    <w:rsid w:val="00DD506C"/>
    <w:rsid w:val="00E33F40"/>
    <w:rsid w:val="00E5351F"/>
    <w:rsid w:val="00E57A89"/>
    <w:rsid w:val="00E73925"/>
    <w:rsid w:val="00E75C18"/>
    <w:rsid w:val="00E76D75"/>
    <w:rsid w:val="00E82E22"/>
    <w:rsid w:val="00EA2BAC"/>
    <w:rsid w:val="00ED2E6C"/>
    <w:rsid w:val="00EE3A17"/>
    <w:rsid w:val="00EE77E2"/>
    <w:rsid w:val="00EF63B1"/>
    <w:rsid w:val="00F01F5F"/>
    <w:rsid w:val="00F64C54"/>
    <w:rsid w:val="00F771DA"/>
    <w:rsid w:val="00F83FE6"/>
    <w:rsid w:val="00FD5713"/>
    <w:rsid w:val="00FE7724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40"/>
    <w:pPr>
      <w:spacing w:line="240" w:lineRule="auto"/>
      <w:ind w:firstLine="680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A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A1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aliases w:val="подпись"/>
    <w:basedOn w:val="a"/>
    <w:next w:val="a"/>
    <w:link w:val="a8"/>
    <w:uiPriority w:val="10"/>
    <w:qFormat/>
    <w:rsid w:val="00E73925"/>
    <w:pPr>
      <w:spacing w:after="0"/>
      <w:ind w:firstLine="0"/>
      <w:jc w:val="center"/>
    </w:pPr>
  </w:style>
  <w:style w:type="character" w:customStyle="1" w:styleId="a8">
    <w:name w:val="Название Знак"/>
    <w:aliases w:val="подпись Знак"/>
    <w:basedOn w:val="a0"/>
    <w:link w:val="a7"/>
    <w:uiPriority w:val="10"/>
    <w:rsid w:val="00E7392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40"/>
    <w:pPr>
      <w:spacing w:line="240" w:lineRule="auto"/>
      <w:ind w:firstLine="680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A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A1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aliases w:val="подпись"/>
    <w:basedOn w:val="a"/>
    <w:next w:val="a"/>
    <w:link w:val="a8"/>
    <w:uiPriority w:val="10"/>
    <w:qFormat/>
    <w:rsid w:val="00E73925"/>
    <w:pPr>
      <w:spacing w:after="0"/>
      <w:ind w:firstLine="0"/>
      <w:jc w:val="center"/>
    </w:pPr>
  </w:style>
  <w:style w:type="character" w:customStyle="1" w:styleId="a8">
    <w:name w:val="Название Знак"/>
    <w:aliases w:val="подпись Знак"/>
    <w:basedOn w:val="a0"/>
    <w:link w:val="a7"/>
    <w:uiPriority w:val="10"/>
    <w:rsid w:val="00E739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03503D56EACAD5E157CA089EC050ABE667F2C2248DFA85841632B3204CEF8B449235858A2ECD0AjFx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3EEE7DE5278645BE9A5694CAE3D5057F3C5423675AA5B5AB187B5F4C5E2ECC7919E1BF05A0300Fu5uCG" TargetMode="External"/><Relationship Id="rId5" Type="http://schemas.openxmlformats.org/officeDocument/2006/relationships/hyperlink" Target="consultantplus://offline/ref=3A254BB4D9416B84CE60A2D7A4733FC35E3071D3EFD878EA153550010B01C5D5469E783982D765dDg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Ростовской области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Кочура</dc:creator>
  <cp:lastModifiedBy>Кочура</cp:lastModifiedBy>
  <cp:revision>2</cp:revision>
  <cp:lastPrinted>2013-03-29T07:45:00Z</cp:lastPrinted>
  <dcterms:created xsi:type="dcterms:W3CDTF">2013-03-29T05:55:00Z</dcterms:created>
  <dcterms:modified xsi:type="dcterms:W3CDTF">2013-03-29T09:17:00Z</dcterms:modified>
</cp:coreProperties>
</file>